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007A6E07" w:rsidRDefault="007A6E07" w14:paraId="154DC56A" w14:textId="77777777">
      <w:pPr>
        <w:pStyle w:val="BodyText"/>
        <w:spacing w:before="9"/>
        <w:rPr>
          <w:rFonts w:ascii="Times New Roman"/>
          <w:sz w:val="9"/>
        </w:rPr>
      </w:pPr>
    </w:p>
    <w:p w:rsidR="007A6E07" w:rsidRDefault="00796383" w14:paraId="154DC56B" w14:textId="77777777">
      <w:pPr>
        <w:spacing w:before="44"/>
        <w:ind w:left="340"/>
        <w:rPr>
          <w:b/>
          <w:sz w:val="28"/>
        </w:rPr>
      </w:pPr>
      <w:r>
        <w:rPr>
          <w:noProof/>
        </w:rPr>
        <w:drawing>
          <wp:anchor distT="0" distB="0" distL="0" distR="0" simplePos="0" relativeHeight="251659264" behindDoc="0" locked="0" layoutInCell="1" allowOverlap="1" wp14:anchorId="154DC591" wp14:editId="154DC592">
            <wp:simplePos x="0" y="0"/>
            <wp:positionH relativeFrom="page">
              <wp:posOffset>5737860</wp:posOffset>
            </wp:positionH>
            <wp:positionV relativeFrom="paragraph">
              <wp:posOffset>-74357</wp:posOffset>
            </wp:positionV>
            <wp:extent cx="1610994" cy="35495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610994" cy="354952"/>
                    </a:xfrm>
                    <a:prstGeom prst="rect">
                      <a:avLst/>
                    </a:prstGeom>
                  </pic:spPr>
                </pic:pic>
              </a:graphicData>
            </a:graphic>
          </wp:anchor>
        </w:drawing>
      </w:r>
      <w:r>
        <w:rPr>
          <w:b/>
          <w:sz w:val="28"/>
        </w:rPr>
        <w:t>RISK MANAGEMENT POLICY</w:t>
      </w:r>
    </w:p>
    <w:p w:rsidR="007A6E07" w:rsidRDefault="007A6E07" w14:paraId="154DC56C" w14:textId="77777777">
      <w:pPr>
        <w:pStyle w:val="BodyText"/>
        <w:spacing w:before="2"/>
        <w:rPr>
          <w:b/>
          <w:sz w:val="25"/>
        </w:rPr>
      </w:pPr>
    </w:p>
    <w:p w:rsidR="007A6E07" w:rsidRDefault="00796383" w14:paraId="154DC56D" w14:textId="77777777">
      <w:pPr>
        <w:pStyle w:val="BodyText"/>
        <w:spacing w:line="35" w:lineRule="exact"/>
        <w:ind w:left="-11"/>
        <w:rPr>
          <w:sz w:val="3"/>
        </w:rPr>
      </w:pPr>
      <w:r>
        <w:rPr>
          <w:sz w:val="3"/>
        </w:rPr>
      </w:r>
      <w:r>
        <w:rPr>
          <w:sz w:val="3"/>
        </w:rPr>
        <w:pict w14:anchorId="154DC594">
          <v:group id="_x0000_s1026" style="width:478.4pt;height:1.75pt;mso-position-horizontal-relative:char;mso-position-vertical-relative:line" coordsize="9568,35">
            <v:line id="_x0000_s1027" style="position:absolute" strokeweight="1pt" from="10,10" to="9558,25"/>
            <w10:anchorlock/>
          </v:group>
        </w:pic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36"/>
      </w:tblGrid>
      <w:tr w:rsidR="003B449D" w:rsidTr="544F993E" w14:paraId="47386DB4" w14:textId="77777777">
        <w:tc>
          <w:tcPr>
            <w:tcW w:w="10436" w:type="dxa"/>
            <w:tcMar/>
          </w:tcPr>
          <w:p w:rsidR="003B449D" w:rsidP="003B449D" w:rsidRDefault="003B449D" w14:paraId="334BD74C" w14:textId="77777777">
            <w:pPr>
              <w:pStyle w:val="Heading1"/>
              <w:spacing w:before="56" w:line="268" w:lineRule="exact"/>
              <w:ind w:left="220"/>
            </w:pPr>
          </w:p>
          <w:p w:rsidR="003B449D" w:rsidP="003B449D" w:rsidRDefault="003B449D" w14:paraId="0CCD9517" w14:textId="74D89151">
            <w:pPr>
              <w:pStyle w:val="Heading1"/>
              <w:spacing w:before="56" w:line="268" w:lineRule="exact"/>
              <w:ind w:left="220"/>
            </w:pPr>
            <w:r>
              <w:t>Intent</w:t>
            </w:r>
          </w:p>
          <w:p w:rsidR="003B449D" w:rsidP="003B449D" w:rsidRDefault="003B449D" w14:paraId="45DD513F" w14:textId="77777777">
            <w:pPr>
              <w:pStyle w:val="BodyText"/>
              <w:ind w:left="219" w:right="1182"/>
            </w:pPr>
            <w:r>
              <w:t>The Risk Management Policy outlines the documentation and activities the Board will rely upon to monitor and control risks that impact the organization’s ability to achieve its objectives and to support risk-informed decision-making and the integration of risk management into organizational activity.</w:t>
            </w:r>
          </w:p>
          <w:p w:rsidR="003B449D" w:rsidRDefault="003B449D" w14:paraId="300B93F8" w14:textId="77777777">
            <w:pPr>
              <w:pStyle w:val="BodyText"/>
              <w:rPr>
                <w:b/>
                <w:sz w:val="13"/>
              </w:rPr>
            </w:pPr>
          </w:p>
        </w:tc>
      </w:tr>
      <w:tr w:rsidR="003B449D" w:rsidTr="544F993E" w14:paraId="4B91437B" w14:textId="77777777">
        <w:tc>
          <w:tcPr>
            <w:tcW w:w="10436" w:type="dxa"/>
            <w:tcMar/>
          </w:tcPr>
          <w:p w:rsidR="003B449D" w:rsidP="003B449D" w:rsidRDefault="003B449D" w14:paraId="1B2AC932" w14:textId="77777777">
            <w:pPr>
              <w:pStyle w:val="Heading1"/>
            </w:pPr>
            <w:r>
              <w:t>Definitions</w:t>
            </w:r>
          </w:p>
          <w:p w:rsidR="003B449D" w:rsidP="003B449D" w:rsidRDefault="003B449D" w14:paraId="53753F7B" w14:textId="77777777">
            <w:pPr>
              <w:pStyle w:val="BodyText"/>
              <w:ind w:left="219" w:right="1339"/>
            </w:pPr>
            <w:r>
              <w:t>Risk: the impact of uncertainty on organizational objectives, resulting in deviation from expected outcomes</w:t>
            </w:r>
          </w:p>
          <w:p w:rsidR="003B449D" w:rsidRDefault="003B449D" w14:paraId="5AD57FB6" w14:textId="77777777">
            <w:pPr>
              <w:pStyle w:val="BodyText"/>
              <w:rPr>
                <w:b/>
                <w:sz w:val="13"/>
              </w:rPr>
            </w:pPr>
          </w:p>
        </w:tc>
      </w:tr>
      <w:tr w:rsidR="003B449D" w:rsidTr="544F993E" w14:paraId="2B08E579" w14:textId="77777777">
        <w:tc>
          <w:tcPr>
            <w:tcW w:w="10436" w:type="dxa"/>
            <w:tcMar/>
          </w:tcPr>
          <w:p w:rsidRPr="003B449D" w:rsidR="003B449D" w:rsidP="003B449D" w:rsidRDefault="003B449D" w14:paraId="1ED6A1C6" w14:textId="37E0F8F1">
            <w:pPr>
              <w:pStyle w:val="BodyText"/>
              <w:ind w:left="220" w:right="1143"/>
            </w:pPr>
            <w:r>
              <w:t>Risk Management: an organization’s coordinated set of activities and methods used to identify and control risks that may impact its ability to achieve its objectives</w:t>
            </w:r>
          </w:p>
        </w:tc>
      </w:tr>
      <w:tr w:rsidR="003B449D" w:rsidTr="544F993E" w14:paraId="43626F4D" w14:textId="77777777">
        <w:tc>
          <w:tcPr>
            <w:tcW w:w="10436" w:type="dxa"/>
            <w:tcMar/>
          </w:tcPr>
          <w:p w:rsidR="003B449D" w:rsidP="003B449D" w:rsidRDefault="003B449D" w14:paraId="79E011AC" w14:textId="77777777">
            <w:pPr>
              <w:pStyle w:val="BodyText"/>
            </w:pPr>
          </w:p>
          <w:p w:rsidR="003B449D" w:rsidP="003B449D" w:rsidRDefault="003B449D" w14:paraId="2412E501" w14:textId="77777777">
            <w:pPr>
              <w:pStyle w:val="BodyText"/>
              <w:ind w:left="219" w:right="1160"/>
            </w:pPr>
            <w:r>
              <w:t>Risk Register: a document that identifies risks, tracks the probability that these risks will occur, and provides an assessment of the level of impact these risks could have on the organization</w:t>
            </w:r>
          </w:p>
          <w:p w:rsidR="003B449D" w:rsidRDefault="003B449D" w14:paraId="0F5823CF" w14:textId="77777777">
            <w:pPr>
              <w:pStyle w:val="BodyText"/>
              <w:rPr>
                <w:b/>
                <w:sz w:val="13"/>
              </w:rPr>
            </w:pPr>
          </w:p>
        </w:tc>
      </w:tr>
      <w:tr w:rsidR="003B449D" w:rsidTr="544F993E" w14:paraId="7643E340" w14:textId="77777777">
        <w:tc>
          <w:tcPr>
            <w:tcW w:w="10436" w:type="dxa"/>
            <w:tcMar/>
          </w:tcPr>
          <w:p w:rsidR="003B449D" w:rsidP="003B449D" w:rsidRDefault="003B449D" w14:paraId="6CF125F2" w14:textId="77777777">
            <w:pPr>
              <w:pStyle w:val="Heading1"/>
            </w:pPr>
            <w:r>
              <w:t>Policy</w:t>
            </w:r>
          </w:p>
          <w:p w:rsidR="003B449D" w:rsidP="003B449D" w:rsidRDefault="003B449D" w14:paraId="7A4995A5" w14:textId="77777777">
            <w:pPr>
              <w:pStyle w:val="ListParagraph"/>
              <w:numPr>
                <w:ilvl w:val="0"/>
                <w:numId w:val="2"/>
              </w:numPr>
              <w:tabs>
                <w:tab w:val="left" w:pos="666"/>
                <w:tab w:val="left" w:pos="667"/>
              </w:tabs>
              <w:ind w:hanging="426"/>
              <w:rPr>
                <w:b/>
              </w:rPr>
            </w:pPr>
            <w:bookmarkStart w:name="1._Risk_Register" w:id="0"/>
            <w:bookmarkEnd w:id="0"/>
            <w:r>
              <w:rPr>
                <w:b/>
              </w:rPr>
              <w:t>Risk</w:t>
            </w:r>
            <w:r>
              <w:rPr>
                <w:b/>
                <w:spacing w:val="-3"/>
              </w:rPr>
              <w:t xml:space="preserve"> </w:t>
            </w:r>
            <w:r>
              <w:rPr>
                <w:b/>
              </w:rPr>
              <w:t>Register</w:t>
            </w:r>
          </w:p>
          <w:p w:rsidR="003B449D" w:rsidP="003B449D" w:rsidRDefault="003B449D" w14:paraId="73FEC7F6" w14:textId="63C19C9F">
            <w:pPr>
              <w:pStyle w:val="BodyText"/>
              <w:ind w:left="579" w:right="1920"/>
            </w:pPr>
            <w:r w:rsidR="6AB0FA87">
              <w:rPr/>
              <w:t xml:space="preserve">Management will </w:t>
            </w:r>
            <w:r w:rsidR="6AB0FA87">
              <w:rPr/>
              <w:t>maintain</w:t>
            </w:r>
            <w:r w:rsidR="6AB0FA87">
              <w:rPr/>
              <w:t xml:space="preserve"> an up-to-date risk register and will normally provide a copy for the Board to review in June for review. The risk register will </w:t>
            </w:r>
            <w:r w:rsidR="6AB0FA87">
              <w:rPr/>
              <w:t>contain</w:t>
            </w:r>
            <w:r w:rsidR="6AB0FA87">
              <w:rPr/>
              <w:t xml:space="preserve"> the following key features</w:t>
            </w:r>
            <w:r w:rsidR="003B449D">
              <w:rPr/>
              <w:t>:</w:t>
            </w:r>
          </w:p>
          <w:p w:rsidR="003B449D" w:rsidRDefault="003B449D" w14:paraId="3254B22B" w14:textId="77777777">
            <w:pPr>
              <w:pStyle w:val="BodyText"/>
              <w:rPr>
                <w:b/>
                <w:sz w:val="13"/>
              </w:rPr>
            </w:pPr>
          </w:p>
        </w:tc>
      </w:tr>
      <w:tr w:rsidR="003B449D" w:rsidTr="544F993E" w14:paraId="3EB13063" w14:textId="77777777">
        <w:tc>
          <w:tcPr>
            <w:tcW w:w="10436" w:type="dxa"/>
            <w:tcMar/>
          </w:tcPr>
          <w:p w:rsidR="003B449D" w:rsidP="003B449D" w:rsidRDefault="003B449D" w14:paraId="36592020" w14:textId="77777777">
            <w:pPr>
              <w:pStyle w:val="ListParagraph"/>
              <w:numPr>
                <w:ilvl w:val="1"/>
                <w:numId w:val="2"/>
              </w:numPr>
              <w:tabs>
                <w:tab w:val="left" w:pos="1126"/>
                <w:tab w:val="left" w:pos="1127"/>
              </w:tabs>
              <w:spacing w:before="80"/>
              <w:ind w:right="1682"/>
            </w:pPr>
            <w:r>
              <w:t>General categories of risk relevant to the organization (e.g. reputation, finance and funding, operations, human resources, and</w:t>
            </w:r>
            <w:r>
              <w:rPr>
                <w:spacing w:val="-13"/>
              </w:rPr>
              <w:t xml:space="preserve"> </w:t>
            </w:r>
            <w:r>
              <w:t>members</w:t>
            </w:r>
            <w:proofErr w:type="gramStart"/>
            <w:r>
              <w:t>);</w:t>
            </w:r>
            <w:proofErr w:type="gramEnd"/>
          </w:p>
          <w:p w:rsidR="003B449D" w:rsidRDefault="003B449D" w14:paraId="2AF972AD" w14:textId="77777777">
            <w:pPr>
              <w:pStyle w:val="BodyText"/>
              <w:rPr>
                <w:b/>
                <w:sz w:val="13"/>
              </w:rPr>
            </w:pPr>
          </w:p>
        </w:tc>
      </w:tr>
      <w:tr w:rsidR="003B449D" w:rsidTr="544F993E" w14:paraId="6A1C0F7F" w14:textId="77777777">
        <w:tc>
          <w:tcPr>
            <w:tcW w:w="10436" w:type="dxa"/>
            <w:tcMar/>
          </w:tcPr>
          <w:p w:rsidR="003B449D" w:rsidP="003B449D" w:rsidRDefault="003B449D" w14:paraId="1A03D868" w14:textId="77777777">
            <w:pPr>
              <w:pStyle w:val="ListParagraph"/>
              <w:numPr>
                <w:ilvl w:val="1"/>
                <w:numId w:val="2"/>
              </w:numPr>
              <w:tabs>
                <w:tab w:val="left" w:pos="1126"/>
                <w:tab w:val="left" w:pos="1127"/>
              </w:tabs>
              <w:spacing w:before="79"/>
              <w:ind w:right="1488"/>
            </w:pPr>
            <w:r>
              <w:t xml:space="preserve">Specific risks identified and monitored under each of the stated general categories of </w:t>
            </w:r>
            <w:proofErr w:type="gramStart"/>
            <w:r>
              <w:t>risk;</w:t>
            </w:r>
            <w:proofErr w:type="gramEnd"/>
          </w:p>
          <w:p w:rsidR="003B449D" w:rsidRDefault="003B449D" w14:paraId="2E9A2221" w14:textId="77777777">
            <w:pPr>
              <w:pStyle w:val="BodyText"/>
              <w:rPr>
                <w:b/>
                <w:sz w:val="13"/>
              </w:rPr>
            </w:pPr>
          </w:p>
        </w:tc>
      </w:tr>
      <w:tr w:rsidR="003B449D" w:rsidTr="544F993E" w14:paraId="6D1080E8" w14:textId="77777777">
        <w:tc>
          <w:tcPr>
            <w:tcW w:w="10436" w:type="dxa"/>
            <w:tcMar/>
          </w:tcPr>
          <w:p w:rsidR="003B449D" w:rsidP="003B449D" w:rsidRDefault="003B449D" w14:paraId="01AA832E" w14:textId="77777777">
            <w:pPr>
              <w:pStyle w:val="ListParagraph"/>
              <w:numPr>
                <w:ilvl w:val="1"/>
                <w:numId w:val="2"/>
              </w:numPr>
              <w:tabs>
                <w:tab w:val="left" w:pos="1126"/>
                <w:tab w:val="left" w:pos="1127"/>
              </w:tabs>
              <w:spacing w:before="80"/>
            </w:pPr>
            <w:r>
              <w:t>Management’s estimation of the probability and potential impact of each</w:t>
            </w:r>
            <w:r>
              <w:rPr>
                <w:spacing w:val="-24"/>
              </w:rPr>
              <w:t xml:space="preserve"> </w:t>
            </w:r>
            <w:proofErr w:type="gramStart"/>
            <w:r>
              <w:t>risk;</w:t>
            </w:r>
            <w:proofErr w:type="gramEnd"/>
          </w:p>
          <w:p w:rsidR="003B449D" w:rsidRDefault="003B449D" w14:paraId="518B6E3A" w14:textId="77777777">
            <w:pPr>
              <w:pStyle w:val="BodyText"/>
              <w:rPr>
                <w:b/>
                <w:sz w:val="13"/>
              </w:rPr>
            </w:pPr>
          </w:p>
        </w:tc>
      </w:tr>
      <w:tr w:rsidR="003B449D" w:rsidTr="544F993E" w14:paraId="61CCC8F7" w14:textId="77777777">
        <w:tc>
          <w:tcPr>
            <w:tcW w:w="10436" w:type="dxa"/>
            <w:tcMar/>
          </w:tcPr>
          <w:p w:rsidR="003B449D" w:rsidP="003B449D" w:rsidRDefault="003B449D" w14:paraId="29D38C11" w14:textId="77777777">
            <w:pPr>
              <w:pStyle w:val="ListParagraph"/>
              <w:numPr>
                <w:ilvl w:val="1"/>
                <w:numId w:val="3"/>
              </w:numPr>
              <w:tabs>
                <w:tab w:val="left" w:pos="1126"/>
                <w:tab w:val="left" w:pos="1128"/>
              </w:tabs>
              <w:spacing w:before="79"/>
              <w:ind w:right="1702"/>
            </w:pPr>
            <w:r>
              <w:t xml:space="preserve">Mitigation strategies </w:t>
            </w:r>
            <w:proofErr w:type="gramStart"/>
            <w:r>
              <w:t>put</w:t>
            </w:r>
            <w:proofErr w:type="gramEnd"/>
            <w:r>
              <w:t xml:space="preserve"> in place to ensure that identified risks are being managed effectively, and recovery strategies </w:t>
            </w:r>
            <w:proofErr w:type="gramStart"/>
            <w:r>
              <w:t>in the event that</w:t>
            </w:r>
            <w:proofErr w:type="gramEnd"/>
            <w:r>
              <w:t xml:space="preserve"> this risk cannot</w:t>
            </w:r>
            <w:r>
              <w:rPr>
                <w:spacing w:val="-15"/>
              </w:rPr>
              <w:t xml:space="preserve"> </w:t>
            </w:r>
            <w:r>
              <w:t>be controlled.</w:t>
            </w:r>
          </w:p>
          <w:p w:rsidR="003B449D" w:rsidRDefault="003B449D" w14:paraId="2D2E3C51" w14:textId="77777777">
            <w:pPr>
              <w:pStyle w:val="BodyText"/>
              <w:rPr>
                <w:b/>
                <w:sz w:val="13"/>
              </w:rPr>
            </w:pPr>
          </w:p>
        </w:tc>
      </w:tr>
      <w:tr w:rsidR="003B449D" w:rsidTr="544F993E" w14:paraId="14D81FB4" w14:textId="77777777">
        <w:tc>
          <w:tcPr>
            <w:tcW w:w="10436" w:type="dxa"/>
            <w:tcMar/>
          </w:tcPr>
          <w:p w:rsidR="003B449D" w:rsidP="003B449D" w:rsidRDefault="003B449D" w14:paraId="46259233" w14:textId="77777777">
            <w:pPr>
              <w:pStyle w:val="Heading1"/>
              <w:numPr>
                <w:ilvl w:val="0"/>
                <w:numId w:val="3"/>
              </w:numPr>
              <w:tabs>
                <w:tab w:val="left" w:pos="581"/>
              </w:tabs>
              <w:spacing w:line="268" w:lineRule="exact"/>
              <w:ind w:left="580" w:hanging="364"/>
            </w:pPr>
            <w:r>
              <w:t>Amendments to Risk</w:t>
            </w:r>
            <w:r>
              <w:rPr>
                <w:spacing w:val="-12"/>
              </w:rPr>
              <w:t xml:space="preserve"> </w:t>
            </w:r>
            <w:r>
              <w:t>Register</w:t>
            </w:r>
          </w:p>
          <w:p w:rsidR="003B449D" w:rsidP="003B449D" w:rsidRDefault="003B449D" w14:paraId="2A6680A7" w14:textId="4E9A0FBA">
            <w:pPr>
              <w:pStyle w:val="BodyText"/>
              <w:ind w:left="580" w:right="1264"/>
            </w:pPr>
            <w:r w:rsidR="4B0F5632">
              <w:rPr/>
              <w:t>C</w:t>
            </w:r>
            <w:r w:rsidR="003B449D">
              <w:rPr/>
              <w:t>hanges</w:t>
            </w:r>
            <w:r w:rsidR="6AB02812">
              <w:rPr/>
              <w:t xml:space="preserve"> may be</w:t>
            </w:r>
            <w:r w:rsidR="003B449D">
              <w:rPr/>
              <w:t xml:space="preserve"> brought forward to the Board at any time. Recommendations may include new or revised categories of risk, updates to the list of specific risks </w:t>
            </w:r>
            <w:r w:rsidR="003B449D">
              <w:rPr/>
              <w:t>identified</w:t>
            </w:r>
            <w:r w:rsidR="003B449D">
              <w:rPr/>
              <w:t xml:space="preserve"> and </w:t>
            </w:r>
            <w:r w:rsidR="003B449D">
              <w:rPr/>
              <w:t>monitored</w:t>
            </w:r>
            <w:r w:rsidR="003B449D">
              <w:rPr/>
              <w:t>, changes to the assessment of risks, or new strategies for mitigation or recovery.</w:t>
            </w:r>
          </w:p>
          <w:p w:rsidR="003B449D" w:rsidRDefault="003B449D" w14:paraId="084687E5" w14:textId="77777777">
            <w:pPr>
              <w:pStyle w:val="BodyText"/>
              <w:rPr>
                <w:b/>
                <w:sz w:val="13"/>
              </w:rPr>
            </w:pPr>
          </w:p>
        </w:tc>
      </w:tr>
    </w:tbl>
    <w:p w:rsidR="007A6E07" w:rsidRDefault="007A6E07" w14:paraId="154DC583" w14:textId="77777777">
      <w:pPr>
        <w:pStyle w:val="BodyText"/>
      </w:pPr>
      <w:bookmarkStart w:name="Intent" w:id="1"/>
      <w:bookmarkStart w:name="Definitions" w:id="2"/>
      <w:bookmarkStart w:name="Policy" w:id="3"/>
      <w:bookmarkStart w:name="2._Amendments_to_Risk_Register" w:id="4"/>
      <w:bookmarkEnd w:id="1"/>
      <w:bookmarkEnd w:id="2"/>
      <w:bookmarkEnd w:id="3"/>
      <w:bookmarkEnd w:id="4"/>
    </w:p>
    <w:p w:rsidR="007A6E07" w:rsidRDefault="00796383" w14:paraId="154DC584" w14:textId="77777777">
      <w:pPr>
        <w:pStyle w:val="Heading1"/>
        <w:ind w:left="100"/>
      </w:pPr>
      <w:r>
        <w:t>RELATED DOCUMENTS</w:t>
      </w:r>
    </w:p>
    <w:p w:rsidR="007A6E07" w:rsidP="003B449D" w:rsidRDefault="00796383" w14:paraId="154DC589" w14:textId="6BB644BF">
      <w:pPr>
        <w:pStyle w:val="ListParagraph"/>
        <w:numPr>
          <w:ilvl w:val="0"/>
          <w:numId w:val="1"/>
        </w:numPr>
        <w:tabs>
          <w:tab w:val="left" w:pos="820"/>
          <w:tab w:val="left" w:pos="821"/>
        </w:tabs>
        <w:rPr>
          <w:i/>
        </w:rPr>
      </w:pPr>
      <w:r>
        <w:rPr>
          <w:i/>
        </w:rPr>
        <w:t>Risk</w:t>
      </w:r>
      <w:r>
        <w:rPr>
          <w:i/>
          <w:spacing w:val="-1"/>
        </w:rPr>
        <w:t xml:space="preserve"> </w:t>
      </w:r>
      <w:r>
        <w:rPr>
          <w:i/>
        </w:rPr>
        <w:t>Register</w:t>
      </w:r>
    </w:p>
    <w:p w:rsidR="003B449D" w:rsidP="003B449D" w:rsidRDefault="003B449D" w14:paraId="4E531A2E" w14:textId="77777777">
      <w:pPr>
        <w:tabs>
          <w:tab w:val="left" w:pos="820"/>
          <w:tab w:val="left" w:pos="821"/>
        </w:tabs>
        <w:rPr>
          <w:i/>
        </w:rPr>
      </w:pPr>
    </w:p>
    <w:p w:rsidRPr="003B449D" w:rsidR="00796383" w:rsidP="544F993E" w:rsidRDefault="00796383" w14:paraId="47B08640" w14:noSpellErr="1" w14:textId="6D0C9DFD">
      <w:pPr>
        <w:pStyle w:val="Normal"/>
        <w:tabs>
          <w:tab w:val="left" w:pos="820"/>
          <w:tab w:val="left" w:pos="821"/>
        </w:tabs>
        <w:rPr>
          <w:i w:val="1"/>
          <w:iCs w:val="1"/>
        </w:rPr>
      </w:pPr>
    </w:p>
    <w:p w:rsidR="007A6E07" w:rsidP="544F993E" w:rsidRDefault="00796383" w14:paraId="154DC58A" w14:textId="679AAA3F">
      <w:pPr>
        <w:ind w:left="220"/>
        <w:rPr>
          <w:i w:val="1"/>
          <w:iCs w:val="1"/>
        </w:rPr>
      </w:pPr>
      <w:r w:rsidRPr="544F993E" w:rsidR="00796383">
        <w:rPr>
          <w:i w:val="1"/>
          <w:iCs w:val="1"/>
        </w:rPr>
        <w:t>A</w:t>
      </w:r>
      <w:r w:rsidRPr="544F993E" w:rsidR="00796383">
        <w:rPr>
          <w:i w:val="1"/>
          <w:iCs w:val="1"/>
        </w:rPr>
        <w:t>pproval date: 202</w:t>
      </w:r>
      <w:r w:rsidRPr="544F993E" w:rsidR="3231C70D">
        <w:rPr>
          <w:i w:val="1"/>
          <w:iCs w:val="1"/>
        </w:rPr>
        <w:t>4-09-20</w:t>
      </w:r>
    </w:p>
    <w:p w:rsidR="007A6E07" w:rsidRDefault="007A6E07" w14:paraId="154DC58B" w14:textId="77777777">
      <w:pPr>
        <w:pStyle w:val="BodyText"/>
        <w:rPr>
          <w:i/>
          <w:sz w:val="20"/>
        </w:rPr>
      </w:pPr>
    </w:p>
    <w:p w:rsidR="007A6E07" w:rsidP="544F993E" w:rsidRDefault="00796383" w14:paraId="154DC590" w14:noSpellErr="1" w14:textId="420A8ECA">
      <w:pPr>
        <w:pStyle w:val="BodyText"/>
        <w:spacing w:before="56"/>
        <w:ind/>
        <w:rPr>
          <w:i w:val="1"/>
          <w:iCs w:val="1"/>
          <w:sz w:val="20"/>
          <w:szCs w:val="20"/>
        </w:rPr>
      </w:pPr>
    </w:p>
    <w:sectPr w:rsidR="007A6E07">
      <w:type w:val="continuous"/>
      <w:pgSz w:w="12240" w:h="15840" w:orient="portrait"/>
      <w:pgMar w:top="580" w:right="560" w:bottom="280" w:left="1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9A5501"/>
    <w:multiLevelType w:val="hybridMultilevel"/>
    <w:tmpl w:val="926A51C6"/>
    <w:lvl w:ilvl="0" w:tplc="AA80678A">
      <w:numFmt w:val="bullet"/>
      <w:lvlText w:val=""/>
      <w:lvlJc w:val="left"/>
      <w:pPr>
        <w:ind w:left="820" w:hanging="361"/>
      </w:pPr>
      <w:rPr>
        <w:rFonts w:hint="default" w:ascii="Symbol" w:hAnsi="Symbol" w:eastAsia="Symbol" w:cs="Symbol"/>
        <w:w w:val="100"/>
        <w:sz w:val="22"/>
        <w:szCs w:val="22"/>
        <w:lang w:val="en-US" w:eastAsia="en-US" w:bidi="en-US"/>
      </w:rPr>
    </w:lvl>
    <w:lvl w:ilvl="1" w:tplc="71AA1C00">
      <w:numFmt w:val="bullet"/>
      <w:lvlText w:val="•"/>
      <w:lvlJc w:val="left"/>
      <w:pPr>
        <w:ind w:left="1760" w:hanging="361"/>
      </w:pPr>
      <w:rPr>
        <w:rFonts w:hint="default"/>
        <w:lang w:val="en-US" w:eastAsia="en-US" w:bidi="en-US"/>
      </w:rPr>
    </w:lvl>
    <w:lvl w:ilvl="2" w:tplc="AFACF4FC">
      <w:numFmt w:val="bullet"/>
      <w:lvlText w:val="•"/>
      <w:lvlJc w:val="left"/>
      <w:pPr>
        <w:ind w:left="2700" w:hanging="361"/>
      </w:pPr>
      <w:rPr>
        <w:rFonts w:hint="default"/>
        <w:lang w:val="en-US" w:eastAsia="en-US" w:bidi="en-US"/>
      </w:rPr>
    </w:lvl>
    <w:lvl w:ilvl="3" w:tplc="1E18D3E6">
      <w:numFmt w:val="bullet"/>
      <w:lvlText w:val="•"/>
      <w:lvlJc w:val="left"/>
      <w:pPr>
        <w:ind w:left="3640" w:hanging="361"/>
      </w:pPr>
      <w:rPr>
        <w:rFonts w:hint="default"/>
        <w:lang w:val="en-US" w:eastAsia="en-US" w:bidi="en-US"/>
      </w:rPr>
    </w:lvl>
    <w:lvl w:ilvl="4" w:tplc="BA4C90BE">
      <w:numFmt w:val="bullet"/>
      <w:lvlText w:val="•"/>
      <w:lvlJc w:val="left"/>
      <w:pPr>
        <w:ind w:left="4580" w:hanging="361"/>
      </w:pPr>
      <w:rPr>
        <w:rFonts w:hint="default"/>
        <w:lang w:val="en-US" w:eastAsia="en-US" w:bidi="en-US"/>
      </w:rPr>
    </w:lvl>
    <w:lvl w:ilvl="5" w:tplc="39E439F2">
      <w:numFmt w:val="bullet"/>
      <w:lvlText w:val="•"/>
      <w:lvlJc w:val="left"/>
      <w:pPr>
        <w:ind w:left="5520" w:hanging="361"/>
      </w:pPr>
      <w:rPr>
        <w:rFonts w:hint="default"/>
        <w:lang w:val="en-US" w:eastAsia="en-US" w:bidi="en-US"/>
      </w:rPr>
    </w:lvl>
    <w:lvl w:ilvl="6" w:tplc="417EF6C0">
      <w:numFmt w:val="bullet"/>
      <w:lvlText w:val="•"/>
      <w:lvlJc w:val="left"/>
      <w:pPr>
        <w:ind w:left="6460" w:hanging="361"/>
      </w:pPr>
      <w:rPr>
        <w:rFonts w:hint="default"/>
        <w:lang w:val="en-US" w:eastAsia="en-US" w:bidi="en-US"/>
      </w:rPr>
    </w:lvl>
    <w:lvl w:ilvl="7" w:tplc="BBD0A27C">
      <w:numFmt w:val="bullet"/>
      <w:lvlText w:val="•"/>
      <w:lvlJc w:val="left"/>
      <w:pPr>
        <w:ind w:left="7400" w:hanging="361"/>
      </w:pPr>
      <w:rPr>
        <w:rFonts w:hint="default"/>
        <w:lang w:val="en-US" w:eastAsia="en-US" w:bidi="en-US"/>
      </w:rPr>
    </w:lvl>
    <w:lvl w:ilvl="8" w:tplc="0FEE95AC">
      <w:numFmt w:val="bullet"/>
      <w:lvlText w:val="•"/>
      <w:lvlJc w:val="left"/>
      <w:pPr>
        <w:ind w:left="8340" w:hanging="361"/>
      </w:pPr>
      <w:rPr>
        <w:rFonts w:hint="default"/>
        <w:lang w:val="en-US" w:eastAsia="en-US" w:bidi="en-US"/>
      </w:rPr>
    </w:lvl>
  </w:abstractNum>
  <w:abstractNum w:abstractNumId="1" w15:restartNumberingAfterBreak="0">
    <w:nsid w:val="6502442F"/>
    <w:multiLevelType w:val="multilevel"/>
    <w:tmpl w:val="08B41E72"/>
    <w:lvl w:ilvl="0">
      <w:start w:val="1"/>
      <w:numFmt w:val="decimal"/>
      <w:lvlText w:val="%1."/>
      <w:lvlJc w:val="left"/>
      <w:pPr>
        <w:ind w:left="666" w:hanging="425"/>
        <w:jc w:val="left"/>
      </w:pPr>
      <w:rPr>
        <w:rFonts w:hint="default" w:ascii="Calibri" w:hAnsi="Calibri" w:eastAsia="Calibri" w:cs="Calibri"/>
        <w:b/>
        <w:bCs/>
        <w:w w:val="100"/>
        <w:sz w:val="22"/>
        <w:szCs w:val="22"/>
        <w:lang w:val="en-US" w:eastAsia="en-US" w:bidi="en-US"/>
      </w:rPr>
    </w:lvl>
    <w:lvl w:ilvl="1">
      <w:start w:val="1"/>
      <w:numFmt w:val="decimal"/>
      <w:lvlText w:val="%1.%2"/>
      <w:lvlJc w:val="left"/>
      <w:pPr>
        <w:ind w:left="1126" w:hanging="550"/>
        <w:jc w:val="left"/>
      </w:pPr>
      <w:rPr>
        <w:rFonts w:hint="default" w:ascii="Calibri" w:hAnsi="Calibri" w:eastAsia="Calibri" w:cs="Calibri"/>
        <w:spacing w:val="-3"/>
        <w:w w:val="100"/>
        <w:sz w:val="22"/>
        <w:szCs w:val="22"/>
        <w:lang w:val="en-US" w:eastAsia="en-US" w:bidi="en-US"/>
      </w:rPr>
    </w:lvl>
    <w:lvl w:ilvl="2">
      <w:numFmt w:val="bullet"/>
      <w:lvlText w:val="•"/>
      <w:lvlJc w:val="left"/>
      <w:pPr>
        <w:ind w:left="2131" w:hanging="550"/>
      </w:pPr>
      <w:rPr>
        <w:rFonts w:hint="default"/>
        <w:lang w:val="en-US" w:eastAsia="en-US" w:bidi="en-US"/>
      </w:rPr>
    </w:lvl>
    <w:lvl w:ilvl="3">
      <w:numFmt w:val="bullet"/>
      <w:lvlText w:val="•"/>
      <w:lvlJc w:val="left"/>
      <w:pPr>
        <w:ind w:left="3142" w:hanging="550"/>
      </w:pPr>
      <w:rPr>
        <w:rFonts w:hint="default"/>
        <w:lang w:val="en-US" w:eastAsia="en-US" w:bidi="en-US"/>
      </w:rPr>
    </w:lvl>
    <w:lvl w:ilvl="4">
      <w:numFmt w:val="bullet"/>
      <w:lvlText w:val="•"/>
      <w:lvlJc w:val="left"/>
      <w:pPr>
        <w:ind w:left="4153" w:hanging="550"/>
      </w:pPr>
      <w:rPr>
        <w:rFonts w:hint="default"/>
        <w:lang w:val="en-US" w:eastAsia="en-US" w:bidi="en-US"/>
      </w:rPr>
    </w:lvl>
    <w:lvl w:ilvl="5">
      <w:numFmt w:val="bullet"/>
      <w:lvlText w:val="•"/>
      <w:lvlJc w:val="left"/>
      <w:pPr>
        <w:ind w:left="5164" w:hanging="550"/>
      </w:pPr>
      <w:rPr>
        <w:rFonts w:hint="default"/>
        <w:lang w:val="en-US" w:eastAsia="en-US" w:bidi="en-US"/>
      </w:rPr>
    </w:lvl>
    <w:lvl w:ilvl="6">
      <w:numFmt w:val="bullet"/>
      <w:lvlText w:val="•"/>
      <w:lvlJc w:val="left"/>
      <w:pPr>
        <w:ind w:left="6175" w:hanging="550"/>
      </w:pPr>
      <w:rPr>
        <w:rFonts w:hint="default"/>
        <w:lang w:val="en-US" w:eastAsia="en-US" w:bidi="en-US"/>
      </w:rPr>
    </w:lvl>
    <w:lvl w:ilvl="7">
      <w:numFmt w:val="bullet"/>
      <w:lvlText w:val="•"/>
      <w:lvlJc w:val="left"/>
      <w:pPr>
        <w:ind w:left="7186" w:hanging="550"/>
      </w:pPr>
      <w:rPr>
        <w:rFonts w:hint="default"/>
        <w:lang w:val="en-US" w:eastAsia="en-US" w:bidi="en-US"/>
      </w:rPr>
    </w:lvl>
    <w:lvl w:ilvl="8">
      <w:numFmt w:val="bullet"/>
      <w:lvlText w:val="•"/>
      <w:lvlJc w:val="left"/>
      <w:pPr>
        <w:ind w:left="8197" w:hanging="550"/>
      </w:pPr>
      <w:rPr>
        <w:rFonts w:hint="default"/>
        <w:lang w:val="en-US" w:eastAsia="en-US" w:bidi="en-US"/>
      </w:rPr>
    </w:lvl>
  </w:abstractNum>
  <w:abstractNum w:abstractNumId="2" w15:restartNumberingAfterBreak="0">
    <w:nsid w:val="7C3E333A"/>
    <w:multiLevelType w:val="multilevel"/>
    <w:tmpl w:val="08B41E72"/>
    <w:lvl w:ilvl="0">
      <w:start w:val="1"/>
      <w:numFmt w:val="decimal"/>
      <w:lvlText w:val="%1."/>
      <w:lvlJc w:val="left"/>
      <w:pPr>
        <w:ind w:left="666" w:hanging="425"/>
        <w:jc w:val="left"/>
      </w:pPr>
      <w:rPr>
        <w:rFonts w:hint="default" w:ascii="Calibri" w:hAnsi="Calibri" w:eastAsia="Calibri" w:cs="Calibri"/>
        <w:b/>
        <w:bCs/>
        <w:w w:val="100"/>
        <w:sz w:val="22"/>
        <w:szCs w:val="22"/>
        <w:lang w:val="en-US" w:eastAsia="en-US" w:bidi="en-US"/>
      </w:rPr>
    </w:lvl>
    <w:lvl w:ilvl="1">
      <w:start w:val="1"/>
      <w:numFmt w:val="decimal"/>
      <w:lvlText w:val="%1.%2"/>
      <w:lvlJc w:val="left"/>
      <w:pPr>
        <w:ind w:left="1126" w:hanging="550"/>
        <w:jc w:val="left"/>
      </w:pPr>
      <w:rPr>
        <w:rFonts w:hint="default" w:ascii="Calibri" w:hAnsi="Calibri" w:eastAsia="Calibri" w:cs="Calibri"/>
        <w:spacing w:val="-3"/>
        <w:w w:val="100"/>
        <w:sz w:val="22"/>
        <w:szCs w:val="22"/>
        <w:lang w:val="en-US" w:eastAsia="en-US" w:bidi="en-US"/>
      </w:rPr>
    </w:lvl>
    <w:lvl w:ilvl="2">
      <w:numFmt w:val="bullet"/>
      <w:lvlText w:val="•"/>
      <w:lvlJc w:val="left"/>
      <w:pPr>
        <w:ind w:left="2131" w:hanging="550"/>
      </w:pPr>
      <w:rPr>
        <w:rFonts w:hint="default"/>
        <w:lang w:val="en-US" w:eastAsia="en-US" w:bidi="en-US"/>
      </w:rPr>
    </w:lvl>
    <w:lvl w:ilvl="3">
      <w:numFmt w:val="bullet"/>
      <w:lvlText w:val="•"/>
      <w:lvlJc w:val="left"/>
      <w:pPr>
        <w:ind w:left="3142" w:hanging="550"/>
      </w:pPr>
      <w:rPr>
        <w:rFonts w:hint="default"/>
        <w:lang w:val="en-US" w:eastAsia="en-US" w:bidi="en-US"/>
      </w:rPr>
    </w:lvl>
    <w:lvl w:ilvl="4">
      <w:numFmt w:val="bullet"/>
      <w:lvlText w:val="•"/>
      <w:lvlJc w:val="left"/>
      <w:pPr>
        <w:ind w:left="4153" w:hanging="550"/>
      </w:pPr>
      <w:rPr>
        <w:rFonts w:hint="default"/>
        <w:lang w:val="en-US" w:eastAsia="en-US" w:bidi="en-US"/>
      </w:rPr>
    </w:lvl>
    <w:lvl w:ilvl="5">
      <w:numFmt w:val="bullet"/>
      <w:lvlText w:val="•"/>
      <w:lvlJc w:val="left"/>
      <w:pPr>
        <w:ind w:left="5164" w:hanging="550"/>
      </w:pPr>
      <w:rPr>
        <w:rFonts w:hint="default"/>
        <w:lang w:val="en-US" w:eastAsia="en-US" w:bidi="en-US"/>
      </w:rPr>
    </w:lvl>
    <w:lvl w:ilvl="6">
      <w:numFmt w:val="bullet"/>
      <w:lvlText w:val="•"/>
      <w:lvlJc w:val="left"/>
      <w:pPr>
        <w:ind w:left="6175" w:hanging="550"/>
      </w:pPr>
      <w:rPr>
        <w:rFonts w:hint="default"/>
        <w:lang w:val="en-US" w:eastAsia="en-US" w:bidi="en-US"/>
      </w:rPr>
    </w:lvl>
    <w:lvl w:ilvl="7">
      <w:numFmt w:val="bullet"/>
      <w:lvlText w:val="•"/>
      <w:lvlJc w:val="left"/>
      <w:pPr>
        <w:ind w:left="7186" w:hanging="550"/>
      </w:pPr>
      <w:rPr>
        <w:rFonts w:hint="default"/>
        <w:lang w:val="en-US" w:eastAsia="en-US" w:bidi="en-US"/>
      </w:rPr>
    </w:lvl>
    <w:lvl w:ilvl="8">
      <w:numFmt w:val="bullet"/>
      <w:lvlText w:val="•"/>
      <w:lvlJc w:val="left"/>
      <w:pPr>
        <w:ind w:left="8197" w:hanging="550"/>
      </w:pPr>
      <w:rPr>
        <w:rFonts w:hint="default"/>
        <w:lang w:val="en-US" w:eastAsia="en-US" w:bidi="en-US"/>
      </w:rPr>
    </w:lvl>
  </w:abstractNum>
  <w:num w:numId="1" w16cid:durableId="1864857446">
    <w:abstractNumId w:val="0"/>
  </w:num>
  <w:num w:numId="2" w16cid:durableId="656803255">
    <w:abstractNumId w:val="1"/>
  </w:num>
  <w:num w:numId="3" w16cid:durableId="19086851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7A6E07"/>
    <w:rsid w:val="003B449D"/>
    <w:rsid w:val="005841D8"/>
    <w:rsid w:val="00775A3B"/>
    <w:rsid w:val="00796383"/>
    <w:rsid w:val="007A6E07"/>
    <w:rsid w:val="3231C70D"/>
    <w:rsid w:val="460D26E9"/>
    <w:rsid w:val="48BDBA2E"/>
    <w:rsid w:val="4B0F5632"/>
    <w:rsid w:val="544F993E"/>
    <w:rsid w:val="6AB02812"/>
    <w:rsid w:val="6AB0FA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54DC56A"/>
  <w15:docId w15:val="{3D5FC161-F601-4E36-9458-99A046691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lang w:bidi="en-US"/>
    </w:rPr>
  </w:style>
  <w:style w:type="paragraph" w:styleId="Heading1">
    <w:name w:val="heading 1"/>
    <w:basedOn w:val="Normal"/>
    <w:uiPriority w:val="9"/>
    <w:qFormat/>
    <w:pPr>
      <w:ind w:left="219"/>
      <w:outlineLvl w:val="0"/>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26" w:hanging="550"/>
    </w:pPr>
  </w:style>
  <w:style w:type="paragraph" w:styleId="TableParagraph" w:customStyle="1">
    <w:name w:val="Table Paragraph"/>
    <w:basedOn w:val="Normal"/>
    <w:uiPriority w:val="1"/>
    <w:qFormat/>
  </w:style>
  <w:style w:type="table" w:styleId="TableGrid">
    <w:name w:val="Table Grid"/>
    <w:basedOn w:val="TableNormal"/>
    <w:uiPriority w:val="39"/>
    <w:rsid w:val="003B449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0F97EA134F99438DECE97FA509C4DF" ma:contentTypeVersion="17" ma:contentTypeDescription="Create a new document." ma:contentTypeScope="" ma:versionID="bc298ffdc97c63c84d981b1df6d66c7e">
  <xsd:schema xmlns:xsd="http://www.w3.org/2001/XMLSchema" xmlns:xs="http://www.w3.org/2001/XMLSchema" xmlns:p="http://schemas.microsoft.com/office/2006/metadata/properties" xmlns:ns2="954cba4d-70b2-4a33-9101-06a20bc81493" xmlns:ns3="38f69460-7484-48b3-a54e-dc42d0bd15e0" targetNamespace="http://schemas.microsoft.com/office/2006/metadata/properties" ma:root="true" ma:fieldsID="a33a1bbea4fb529ff5e9c2453308289d" ns2:_="" ns3:_="">
    <xsd:import namespace="954cba4d-70b2-4a33-9101-06a20bc81493"/>
    <xsd:import namespace="38f69460-7484-48b3-a54e-dc42d0bd15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Associate_x0020_procedure" minOccurs="0"/>
                <xsd:element ref="ns2:Associated_x0020_Form" minOccurs="0"/>
                <xsd:element ref="ns2:AssociatedDoc3" minOccurs="0"/>
                <xsd:element ref="ns2:MediaServiceSearchProperties" minOccurs="0"/>
                <xsd:element ref="ns2:NextReview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cba4d-70b2-4a33-9101-06a20bc814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Associate_x0020_procedure" ma:index="19" nillable="true" ma:displayName="Associated Doc 1" ma:format="Hyperlink" ma:internalName="Associate_x0020_procedure">
      <xsd:complexType>
        <xsd:complexContent>
          <xsd:extension base="dms:URL">
            <xsd:sequence>
              <xsd:element name="Url" type="dms:ValidUrl" minOccurs="0" nillable="true"/>
              <xsd:element name="Description" type="xsd:string" nillable="true"/>
            </xsd:sequence>
          </xsd:extension>
        </xsd:complexContent>
      </xsd:complexType>
    </xsd:element>
    <xsd:element name="Associated_x0020_Form" ma:index="20" nillable="true" ma:displayName="Associated Doc 2" ma:format="Hyperlink" ma:internalName="Associated_x0020_Form">
      <xsd:complexType>
        <xsd:complexContent>
          <xsd:extension base="dms:URL">
            <xsd:sequence>
              <xsd:element name="Url" type="dms:ValidUrl" minOccurs="0" nillable="true"/>
              <xsd:element name="Description" type="xsd:string" nillable="true"/>
            </xsd:sequence>
          </xsd:extension>
        </xsd:complexContent>
      </xsd:complexType>
    </xsd:element>
    <xsd:element name="AssociatedDoc3" ma:index="21" nillable="true" ma:displayName="Associated Doc 3" ma:format="Hyperlink" ma:internalName="AssociatedDoc3">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NextReviewDate" ma:index="23" nillable="true" ma:displayName="NextReviewDate" ma:format="DateOnly" ma:internalName="NextRe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8f69460-7484-48b3-a54e-dc42d0bd15e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ReviewDate xmlns="954cba4d-70b2-4a33-9101-06a20bc81493">2026-09-20T07:00:00+00:00</NextReviewDate>
    <Associate_x0020_procedure xmlns="954cba4d-70b2-4a33-9101-06a20bc81493">
      <Url xsi:nil="true"/>
      <Description xsi:nil="true"/>
    </Associate_x0020_procedure>
    <AssociatedDoc3 xmlns="954cba4d-70b2-4a33-9101-06a20bc81493">
      <Url xsi:nil="true"/>
      <Description xsi:nil="true"/>
    </AssociatedDoc3>
    <Associated_x0020_Form xmlns="954cba4d-70b2-4a33-9101-06a20bc81493">
      <Url xsi:nil="true"/>
      <Description xsi:nil="true"/>
    </Associated_x0020_Form>
  </documentManagement>
</p:properties>
</file>

<file path=customXml/itemProps1.xml><?xml version="1.0" encoding="utf-8"?>
<ds:datastoreItem xmlns:ds="http://schemas.openxmlformats.org/officeDocument/2006/customXml" ds:itemID="{79813C2F-7EB3-441A-8914-1B32D55F0BA9}">
  <ds:schemaRefs>
    <ds:schemaRef ds:uri="http://schemas.microsoft.com/sharepoint/v3/contenttype/forms"/>
  </ds:schemaRefs>
</ds:datastoreItem>
</file>

<file path=customXml/itemProps2.xml><?xml version="1.0" encoding="utf-8"?>
<ds:datastoreItem xmlns:ds="http://schemas.openxmlformats.org/officeDocument/2006/customXml" ds:itemID="{C2DEFF1B-27EB-4CCA-AF2A-EAC7D6E36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cba4d-70b2-4a33-9101-06a20bc81493"/>
    <ds:schemaRef ds:uri="38f69460-7484-48b3-a54e-dc42d0bd1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FF640D-5782-45C3-AABD-18E20A0C87A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pana</dc:creator>
  <cp:lastModifiedBy>Boychuk, Cole</cp:lastModifiedBy>
  <cp:revision>5</cp:revision>
  <dcterms:created xsi:type="dcterms:W3CDTF">2024-07-02T16:08:00Z</dcterms:created>
  <dcterms:modified xsi:type="dcterms:W3CDTF">2024-09-26T19:19:08Z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2023-12-08T00:00:00Z</vt:filetime>
  </property>
  <property fmtid="{D5CDD505-2E9C-101B-9397-08002B2CF9AE}" pid="3" name="Creator">
    <vt:lpwstr>Acrobat PDFMaker 20 for Word</vt:lpwstr>
  </property>
  <property fmtid="{D5CDD505-2E9C-101B-9397-08002B2CF9AE}" pid="4" name="LastSaved">
    <vt:filetime>2024-07-02T00:00:00Z</vt:filetime>
  </property>
  <property fmtid="{D5CDD505-2E9C-101B-9397-08002B2CF9AE}" pid="5" name="ContentTypeId">
    <vt:lpwstr>0x010100FC0F97EA134F99438DECE97FA509C4DF</vt:lpwstr>
  </property>
</Properties>
</file>